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tabs>
          <w:tab w:val="clear" w:pos="708"/>
          <w:tab w:val="left" w:pos="5103" w:leader="none"/>
        </w:tabs>
        <w:spacing w:lineRule="auto" w:line="240" w:before="0" w:after="0"/>
        <w:ind w:hanging="0" w:left="4536"/>
        <w:jc w:val="both"/>
        <w:outlineLvl w:val="3"/>
        <w:rPr>
          <w:rFonts w:ascii="Times New Roman" w:hAnsi="Times New Roman" w:eastAsia="Times New Roman"/>
          <w:bCs/>
          <w:sz w:val="28"/>
          <w:szCs w:val="28"/>
          <w:lang w:eastAsia="ru-RU"/>
        </w:rPr>
      </w:pPr>
      <w:r>
        <w:rPr>
          <w:rFonts w:eastAsia="Times New Roman" w:ascii="Times New Roman" w:hAnsi="Times New Roman"/>
          <w:bCs/>
          <w:sz w:val="28"/>
          <w:szCs w:val="28"/>
          <w:lang w:eastAsia="ru-RU"/>
        </w:rPr>
        <w:t xml:space="preserve">Приложение № 2 </w:t>
      </w:r>
    </w:p>
    <w:p>
      <w:pPr>
        <w:pStyle w:val="Normal"/>
        <w:numPr>
          <w:ilvl w:val="0"/>
          <w:numId w:val="0"/>
        </w:numPr>
        <w:tabs>
          <w:tab w:val="clear" w:pos="708"/>
          <w:tab w:val="left" w:pos="5103" w:leader="none"/>
        </w:tabs>
        <w:spacing w:lineRule="auto" w:line="240" w:before="0" w:after="0"/>
        <w:ind w:hanging="0" w:left="4536"/>
        <w:jc w:val="both"/>
        <w:outlineLvl w:val="3"/>
        <w:rPr>
          <w:rFonts w:ascii="Times New Roman" w:hAnsi="Times New Roman" w:eastAsia="Times New Roman"/>
          <w:bCs/>
          <w:sz w:val="28"/>
          <w:szCs w:val="28"/>
          <w:lang w:eastAsia="ru-RU"/>
        </w:rPr>
      </w:pPr>
      <w:r>
        <w:rPr>
          <w:rFonts w:eastAsia="Times New Roman" w:ascii="Times New Roman" w:hAnsi="Times New Roman"/>
          <w:bCs/>
          <w:sz w:val="28"/>
          <w:szCs w:val="28"/>
          <w:lang w:eastAsia="ru-RU"/>
        </w:rPr>
        <w:t xml:space="preserve">к Методике проведения конкурсов на замещение вакантных должностей государственной гражданской службы города Севастополя и на включение в кадровый резерв Департамента здравоохранения города Севастополя, утвержденной приказом Департамента здравоохранения города Севастополя </w:t>
      </w:r>
    </w:p>
    <w:p>
      <w:pPr>
        <w:pStyle w:val="Normal"/>
        <w:numPr>
          <w:ilvl w:val="0"/>
          <w:numId w:val="0"/>
        </w:numPr>
        <w:tabs>
          <w:tab w:val="clear" w:pos="708"/>
          <w:tab w:val="left" w:pos="5103" w:leader="none"/>
        </w:tabs>
        <w:spacing w:lineRule="auto" w:line="240" w:before="0" w:after="0"/>
        <w:ind w:hanging="0" w:left="4536"/>
        <w:jc w:val="both"/>
        <w:outlineLvl w:val="3"/>
        <w:rPr>
          <w:rFonts w:ascii="Times New Roman" w:hAnsi="Times New Roman" w:eastAsia="Times New Roman"/>
          <w:bCs/>
          <w:sz w:val="28"/>
          <w:szCs w:val="28"/>
          <w:lang w:eastAsia="ru-RU"/>
        </w:rPr>
      </w:pPr>
      <w:r>
        <w:rPr>
          <w:rFonts w:eastAsia="Times New Roman" w:ascii="Times New Roman" w:hAnsi="Times New Roman"/>
          <w:bCs/>
          <w:sz w:val="28"/>
          <w:szCs w:val="28"/>
          <w:lang w:eastAsia="ru-RU"/>
        </w:rPr>
        <w:t>от ____________________ №____</w:t>
      </w:r>
    </w:p>
    <w:p>
      <w:pPr>
        <w:pStyle w:val="Normal"/>
        <w:numPr>
          <w:ilvl w:val="0"/>
          <w:numId w:val="0"/>
        </w:numPr>
        <w:tabs>
          <w:tab w:val="clear" w:pos="708"/>
          <w:tab w:val="left" w:pos="5103" w:leader="none"/>
        </w:tabs>
        <w:spacing w:lineRule="auto" w:line="240" w:before="0" w:after="0"/>
        <w:ind w:hanging="0" w:left="5529"/>
        <w:outlineLvl w:val="3"/>
        <w:rPr>
          <w:rFonts w:ascii="Times New Roman" w:hAnsi="Times New Roman" w:eastAsia="Times New Roman"/>
          <w:b/>
          <w:bCs/>
          <w:sz w:val="24"/>
          <w:szCs w:val="24"/>
          <w:lang w:eastAsia="ru-RU"/>
        </w:rPr>
      </w:pPr>
      <w:r>
        <w:rPr>
          <w:rFonts w:eastAsia="Times New Roman" w:ascii="Times New Roman" w:hAnsi="Times New Roman"/>
          <w:b/>
          <w:bCs/>
          <w:sz w:val="24"/>
          <w:szCs w:val="24"/>
          <w:lang w:eastAsia="ru-RU"/>
        </w:rPr>
      </w:r>
    </w:p>
    <w:p>
      <w:pPr>
        <w:pStyle w:val="ConsPlusNormal"/>
        <w:jc w:val="right"/>
        <w:rPr>
          <w:sz w:val="28"/>
          <w:szCs w:val="28"/>
        </w:rPr>
      </w:pPr>
      <w:r>
        <w:rPr>
          <w:sz w:val="28"/>
          <w:szCs w:val="28"/>
        </w:rPr>
      </w:r>
    </w:p>
    <w:p>
      <w:pPr>
        <w:pStyle w:val="ConsPlusTitle"/>
        <w:jc w:val="center"/>
        <w:rPr>
          <w:rFonts w:ascii="Times New Roman" w:hAnsi="Times New Roman" w:cs="Times New Roman"/>
          <w:b w:val="false"/>
          <w:sz w:val="28"/>
          <w:szCs w:val="28"/>
        </w:rPr>
      </w:pPr>
      <w:bookmarkStart w:id="0" w:name="P225"/>
      <w:bookmarkEnd w:id="0"/>
      <w:r>
        <w:rPr>
          <w:rFonts w:cs="Times New Roman" w:ascii="Times New Roman" w:hAnsi="Times New Roman"/>
          <w:b w:val="false"/>
          <w:sz w:val="28"/>
          <w:szCs w:val="28"/>
        </w:rPr>
        <w:t>Описание методов оценки профессиональных и личностных</w:t>
      </w:r>
    </w:p>
    <w:p>
      <w:pPr>
        <w:pStyle w:val="ConsPlusTitle"/>
        <w:jc w:val="center"/>
        <w:rPr>
          <w:rFonts w:ascii="Times New Roman" w:hAnsi="Times New Roman" w:cs="Times New Roman"/>
          <w:b w:val="false"/>
          <w:sz w:val="28"/>
          <w:szCs w:val="28"/>
        </w:rPr>
      </w:pPr>
      <w:r>
        <w:rPr>
          <w:rFonts w:cs="Times New Roman" w:ascii="Times New Roman" w:hAnsi="Times New Roman"/>
          <w:b w:val="false"/>
          <w:sz w:val="28"/>
          <w:szCs w:val="28"/>
        </w:rPr>
        <w:t>качеств, рекомендуемых при проведении конкурсов на замещение</w:t>
      </w:r>
    </w:p>
    <w:p>
      <w:pPr>
        <w:pStyle w:val="ConsPlusTitle"/>
        <w:jc w:val="center"/>
        <w:rPr>
          <w:rFonts w:ascii="Times New Roman" w:hAnsi="Times New Roman" w:cs="Times New Roman"/>
          <w:b w:val="false"/>
          <w:sz w:val="28"/>
          <w:szCs w:val="28"/>
        </w:rPr>
      </w:pPr>
      <w:r>
        <w:rPr>
          <w:rFonts w:cs="Times New Roman" w:ascii="Times New Roman" w:hAnsi="Times New Roman"/>
          <w:b w:val="false"/>
          <w:sz w:val="28"/>
          <w:szCs w:val="28"/>
        </w:rPr>
        <w:t>вакантных должностей государственной гражданской службы</w:t>
      </w:r>
    </w:p>
    <w:p>
      <w:pPr>
        <w:pStyle w:val="ConsPlusTitle"/>
        <w:jc w:val="center"/>
        <w:rPr>
          <w:rFonts w:ascii="Times New Roman" w:hAnsi="Times New Roman" w:cs="Times New Roman"/>
          <w:b w:val="false"/>
          <w:sz w:val="28"/>
          <w:szCs w:val="28"/>
        </w:rPr>
      </w:pPr>
      <w:r>
        <w:rPr>
          <w:rFonts w:cs="Times New Roman" w:ascii="Times New Roman" w:hAnsi="Times New Roman"/>
          <w:b w:val="false"/>
          <w:sz w:val="28"/>
          <w:szCs w:val="28"/>
        </w:rPr>
        <w:t>города Севастополя и включение в кадровый резерв</w:t>
      </w:r>
    </w:p>
    <w:p>
      <w:pPr>
        <w:pStyle w:val="ConsPlusTitle"/>
        <w:jc w:val="center"/>
        <w:rPr>
          <w:rFonts w:ascii="Times New Roman" w:hAnsi="Times New Roman" w:cs="Times New Roman"/>
          <w:b w:val="false"/>
          <w:sz w:val="28"/>
          <w:szCs w:val="28"/>
        </w:rPr>
      </w:pPr>
      <w:r>
        <w:rPr>
          <w:rFonts w:cs="Times New Roman" w:ascii="Times New Roman" w:hAnsi="Times New Roman"/>
          <w:b w:val="false"/>
          <w:sz w:val="28"/>
          <w:szCs w:val="28"/>
        </w:rPr>
        <w:t xml:space="preserve">в Департаменте </w:t>
      </w:r>
      <w:r>
        <w:rPr>
          <w:rFonts w:eastAsia="Times New Roman" w:cs="Times New Roman" w:ascii="Times New Roman" w:hAnsi="Times New Roman"/>
          <w:b w:val="false"/>
          <w:bCs/>
          <w:sz w:val="28"/>
          <w:szCs w:val="28"/>
          <w:lang w:eastAsia="ru-RU"/>
        </w:rPr>
        <w:t>здравоохранения</w:t>
      </w:r>
      <w:r>
        <w:rPr>
          <w:rFonts w:cs="Times New Roman" w:ascii="Times New Roman" w:hAnsi="Times New Roman"/>
          <w:b w:val="false"/>
          <w:sz w:val="28"/>
          <w:szCs w:val="28"/>
        </w:rPr>
        <w:t xml:space="preserve"> города Севастополя</w:t>
      </w:r>
    </w:p>
    <w:p>
      <w:pPr>
        <w:pStyle w:val="ConsPlusNormal"/>
        <w:jc w:val="both"/>
        <w:rPr>
          <w:sz w:val="28"/>
          <w:szCs w:val="28"/>
        </w:rPr>
      </w:pPr>
      <w:r>
        <w:rPr>
          <w:sz w:val="28"/>
          <w:szCs w:val="28"/>
        </w:rPr>
      </w:r>
    </w:p>
    <w:p>
      <w:pPr>
        <w:pStyle w:val="ConsPlusTitle"/>
        <w:numPr>
          <w:ilvl w:val="0"/>
          <w:numId w:val="0"/>
        </w:numPr>
        <w:ind w:hanging="0" w:left="0"/>
        <w:jc w:val="center"/>
        <w:outlineLvl w:val="2"/>
        <w:rPr>
          <w:rFonts w:ascii="Times New Roman" w:hAnsi="Times New Roman" w:cs="Times New Roman"/>
          <w:b w:val="false"/>
          <w:sz w:val="28"/>
          <w:szCs w:val="28"/>
        </w:rPr>
      </w:pPr>
      <w:r>
        <w:rPr>
          <w:rFonts w:cs="Times New Roman" w:ascii="Times New Roman" w:hAnsi="Times New Roman"/>
          <w:b w:val="false"/>
          <w:sz w:val="28"/>
          <w:szCs w:val="28"/>
        </w:rPr>
        <w:t>I</w:t>
      </w:r>
      <w:r>
        <w:rPr>
          <w:rFonts w:cs="Times New Roman" w:ascii="Times New Roman" w:hAnsi="Times New Roman"/>
          <w:b w:val="false"/>
          <w:sz w:val="28"/>
          <w:szCs w:val="28"/>
        </w:rPr>
        <w:t>. Тестирование</w:t>
      </w:r>
    </w:p>
    <w:p>
      <w:pPr>
        <w:pStyle w:val="ConsPlusNormal"/>
        <w:jc w:val="center"/>
        <w:rPr/>
      </w:pPr>
      <w:r>
        <w:rPr/>
      </w:r>
    </w:p>
    <w:p>
      <w:pPr>
        <w:pStyle w:val="ConsPlusNormal"/>
        <w:ind w:firstLine="709"/>
        <w:jc w:val="both"/>
        <w:rPr>
          <w:sz w:val="28"/>
          <w:szCs w:val="28"/>
        </w:rPr>
      </w:pPr>
      <w:r>
        <w:rPr>
          <w:sz w:val="28"/>
          <w:szCs w:val="28"/>
        </w:rPr>
        <w:t xml:space="preserve">Посредством тестирования осуществляется оценка уровня владения кандидатами на замещение вакантных должностей государственной гражданской службы города Севастополя (далее </w:t>
      </w:r>
      <w:r>
        <w:rPr>
          <w:rFonts w:eastAsia="Times New Roman"/>
          <w:spacing w:val="2"/>
          <w:sz w:val="28"/>
          <w:szCs w:val="28"/>
        </w:rPr>
        <w:t xml:space="preserve">– </w:t>
      </w:r>
      <w:r>
        <w:rPr>
          <w:sz w:val="28"/>
          <w:szCs w:val="28"/>
        </w:rPr>
        <w:t xml:space="preserve">гражданская служба) и включение в кадровый резерв в Департаменте </w:t>
      </w:r>
      <w:r>
        <w:rPr>
          <w:rFonts w:eastAsia="Times New Roman"/>
          <w:bCs/>
          <w:sz w:val="28"/>
          <w:szCs w:val="28"/>
          <w:lang w:eastAsia="ru-RU"/>
        </w:rPr>
        <w:t>здравоохранения</w:t>
      </w:r>
      <w:r>
        <w:rPr>
          <w:sz w:val="28"/>
          <w:szCs w:val="28"/>
        </w:rPr>
        <w:t xml:space="preserve"> города Севастополя (далее соответственно </w:t>
      </w:r>
      <w:r>
        <w:rPr>
          <w:rFonts w:eastAsia="Times New Roman"/>
          <w:spacing w:val="2"/>
          <w:sz w:val="28"/>
          <w:szCs w:val="28"/>
        </w:rPr>
        <w:t xml:space="preserve">– </w:t>
      </w:r>
      <w:r>
        <w:rPr>
          <w:sz w:val="28"/>
          <w:szCs w:val="28"/>
        </w:rPr>
        <w:t>кандидаты, кадровый резерв)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pPr>
        <w:pStyle w:val="ConsPlusNormal"/>
        <w:ind w:firstLine="709"/>
        <w:jc w:val="both"/>
        <w:rPr>
          <w:sz w:val="28"/>
          <w:szCs w:val="28"/>
        </w:rPr>
      </w:pPr>
      <w:r>
        <w:rPr>
          <w:sz w:val="28"/>
          <w:szCs w:val="28"/>
        </w:rPr>
        <w:t>При тестировании используется единый перечень вопросов.</w:t>
      </w:r>
    </w:p>
    <w:p>
      <w:pPr>
        <w:pStyle w:val="ConsPlusNormal"/>
        <w:ind w:firstLine="709"/>
        <w:jc w:val="both"/>
        <w:rPr>
          <w:sz w:val="28"/>
          <w:szCs w:val="28"/>
        </w:rPr>
      </w:pPr>
      <w:r>
        <w:rPr>
          <w:sz w:val="28"/>
          <w:szCs w:val="28"/>
        </w:rPr>
        <w:t>Тест должен содержать не менее 40 и не более 60 вопросов.</w:t>
      </w:r>
    </w:p>
    <w:p>
      <w:pPr>
        <w:pStyle w:val="ConsPlusNormal"/>
        <w:ind w:firstLine="709"/>
        <w:jc w:val="both"/>
        <w:rPr>
          <w:sz w:val="28"/>
          <w:szCs w:val="28"/>
        </w:rPr>
      </w:pPr>
      <w:r>
        <w:rPr>
          <w:sz w:val="28"/>
          <w:szCs w:val="28"/>
        </w:rPr>
        <w:t>Первая часть теста формируется по единым унифицированным заданиям, разработанным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(далее – вакантная должность гражданской службы) (группе должностей гражданской службы, по которой проводится конкурс на включение в кадровый резерв).</w:t>
      </w:r>
    </w:p>
    <w:p>
      <w:pPr>
        <w:pStyle w:val="ConsPlusNormal"/>
        <w:ind w:firstLine="709"/>
        <w:jc w:val="both"/>
        <w:rPr>
          <w:sz w:val="28"/>
          <w:szCs w:val="28"/>
        </w:rPr>
      </w:pPr>
      <w:r>
        <w:rPr>
          <w:sz w:val="28"/>
          <w:szCs w:val="28"/>
        </w:rPr>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pPr>
        <w:pStyle w:val="ConsPlusNormal"/>
        <w:ind w:firstLine="709"/>
        <w:jc w:val="both"/>
        <w:rPr>
          <w:sz w:val="28"/>
          <w:szCs w:val="28"/>
        </w:rPr>
      </w:pPr>
      <w:r>
        <w:rPr>
          <w:sz w:val="28"/>
          <w:szCs w:val="28"/>
        </w:rPr>
        <w:t xml:space="preserve">Вопросы для проведения тестирования готовит структурное подразделение Департамента </w:t>
      </w:r>
      <w:r>
        <w:rPr>
          <w:rFonts w:eastAsia="Times New Roman"/>
          <w:bCs/>
          <w:sz w:val="28"/>
          <w:szCs w:val="28"/>
          <w:lang w:eastAsia="ru-RU"/>
        </w:rPr>
        <w:t>здравоохранения</w:t>
      </w:r>
      <w:r>
        <w:rPr>
          <w:sz w:val="28"/>
          <w:szCs w:val="28"/>
        </w:rPr>
        <w:t xml:space="preserve"> города Севастополя, на замещение вакантной должности гражданской службы в котором проводится конкурс.</w:t>
      </w:r>
    </w:p>
    <w:p>
      <w:pPr>
        <w:pStyle w:val="ConsPlusNormal"/>
        <w:ind w:firstLine="709"/>
        <w:jc w:val="both"/>
        <w:rPr>
          <w:sz w:val="28"/>
          <w:szCs w:val="28"/>
        </w:rPr>
      </w:pPr>
      <w:r>
        <w:rPr>
          <w:sz w:val="28"/>
          <w:szCs w:val="28"/>
        </w:rPr>
        <w:t>На каждый вопрос теста может быть только один верный вариант ответа.</w:t>
      </w:r>
    </w:p>
    <w:p>
      <w:pPr>
        <w:pStyle w:val="ConsPlusNormal"/>
        <w:ind w:firstLine="709"/>
        <w:jc w:val="both"/>
        <w:rPr>
          <w:sz w:val="28"/>
          <w:szCs w:val="28"/>
        </w:rPr>
      </w:pPr>
      <w:r>
        <w:rPr>
          <w:sz w:val="28"/>
          <w:szCs w:val="28"/>
        </w:rPr>
        <w:t>Кандидатам предоставляется одно и то же время для прохождения тестирования.</w:t>
      </w:r>
    </w:p>
    <w:p>
      <w:pPr>
        <w:pStyle w:val="ConsPlusNormal"/>
        <w:ind w:firstLine="709"/>
        <w:jc w:val="both"/>
        <w:rPr>
          <w:sz w:val="28"/>
          <w:szCs w:val="28"/>
        </w:rPr>
      </w:pPr>
      <w:r>
        <w:rPr>
          <w:sz w:val="28"/>
          <w:szCs w:val="28"/>
        </w:rPr>
        <w:t>Подведение результатов тестирования основывается на количестве правильных ответов.</w:t>
      </w:r>
    </w:p>
    <w:p>
      <w:pPr>
        <w:pStyle w:val="ConsPlusNormal"/>
        <w:ind w:firstLine="709"/>
        <w:jc w:val="both"/>
        <w:rPr>
          <w:sz w:val="28"/>
          <w:szCs w:val="28"/>
        </w:rPr>
      </w:pPr>
      <w:r>
        <w:rPr>
          <w:sz w:val="28"/>
          <w:szCs w:val="28"/>
        </w:rPr>
        <w:t>Тестирование считается пройденным, если кандидат правильно ответил на 70 и более процентов заданных вопросов.</w:t>
      </w:r>
    </w:p>
    <w:p>
      <w:pPr>
        <w:pStyle w:val="ConsPlusNormal"/>
        <w:ind w:firstLine="709"/>
        <w:jc w:val="both"/>
        <w:rPr>
          <w:sz w:val="28"/>
          <w:szCs w:val="28"/>
        </w:rPr>
      </w:pPr>
      <w:r>
        <w:rPr>
          <w:sz w:val="28"/>
          <w:szCs w:val="28"/>
        </w:rPr>
        <w:t>По результатам тестирования кандидатам выставляются следующие оценки:</w:t>
      </w:r>
    </w:p>
    <w:p>
      <w:pPr>
        <w:pStyle w:val="ConsPlusNormal"/>
        <w:ind w:firstLine="709"/>
        <w:jc w:val="both"/>
        <w:rPr>
          <w:sz w:val="28"/>
          <w:szCs w:val="28"/>
        </w:rPr>
      </w:pPr>
      <w:r>
        <w:rPr>
          <w:sz w:val="28"/>
          <w:szCs w:val="28"/>
        </w:rPr>
        <w:t>- 5 баллов – 95 - 100% правильных ответов;</w:t>
      </w:r>
    </w:p>
    <w:p>
      <w:pPr>
        <w:pStyle w:val="ConsPlusNormal"/>
        <w:ind w:firstLine="709"/>
        <w:jc w:val="both"/>
        <w:rPr>
          <w:sz w:val="28"/>
          <w:szCs w:val="28"/>
        </w:rPr>
      </w:pPr>
      <w:r>
        <w:rPr>
          <w:sz w:val="28"/>
          <w:szCs w:val="28"/>
        </w:rPr>
        <w:t>- 4 балла – 89 - 94% правильных ответов;</w:t>
      </w:r>
    </w:p>
    <w:p>
      <w:pPr>
        <w:pStyle w:val="ConsPlusNormal"/>
        <w:ind w:firstLine="709"/>
        <w:jc w:val="both"/>
        <w:rPr>
          <w:sz w:val="28"/>
          <w:szCs w:val="28"/>
        </w:rPr>
      </w:pPr>
      <w:r>
        <w:rPr>
          <w:sz w:val="28"/>
          <w:szCs w:val="28"/>
        </w:rPr>
        <w:t>- 3 балла – 83 - 88% правильных ответов;</w:t>
      </w:r>
    </w:p>
    <w:p>
      <w:pPr>
        <w:pStyle w:val="ConsPlusNormal"/>
        <w:ind w:firstLine="709"/>
        <w:jc w:val="both"/>
        <w:rPr>
          <w:sz w:val="28"/>
          <w:szCs w:val="28"/>
        </w:rPr>
      </w:pPr>
      <w:r>
        <w:rPr>
          <w:sz w:val="28"/>
          <w:szCs w:val="28"/>
        </w:rPr>
        <w:t>- 2 балла – 76 - 82% правильных ответов;</w:t>
      </w:r>
    </w:p>
    <w:p>
      <w:pPr>
        <w:pStyle w:val="ConsPlusNormal"/>
        <w:ind w:firstLine="709"/>
        <w:jc w:val="both"/>
        <w:rPr>
          <w:sz w:val="28"/>
          <w:szCs w:val="28"/>
        </w:rPr>
      </w:pPr>
      <w:r>
        <w:rPr>
          <w:sz w:val="28"/>
          <w:szCs w:val="28"/>
        </w:rPr>
        <w:t>- 1 балл – 70 - 75% правильных ответов;</w:t>
      </w:r>
    </w:p>
    <w:p>
      <w:pPr>
        <w:pStyle w:val="ConsPlusNormal"/>
        <w:ind w:firstLine="709"/>
        <w:jc w:val="both"/>
        <w:rPr>
          <w:sz w:val="28"/>
          <w:szCs w:val="28"/>
        </w:rPr>
      </w:pPr>
      <w:r>
        <w:rPr>
          <w:sz w:val="28"/>
          <w:szCs w:val="28"/>
        </w:rPr>
        <w:t>- 0 баллов – менее 70% правильных ответов.</w:t>
      </w:r>
    </w:p>
    <w:p>
      <w:pPr>
        <w:pStyle w:val="ConsPlusNormal"/>
        <w:ind w:firstLine="709"/>
        <w:jc w:val="both"/>
        <w:rPr>
          <w:sz w:val="28"/>
          <w:szCs w:val="28"/>
        </w:rPr>
      </w:pPr>
      <w:r>
        <w:rPr>
          <w:sz w:val="28"/>
          <w:szCs w:val="28"/>
        </w:rPr>
      </w:r>
    </w:p>
    <w:p>
      <w:pPr>
        <w:pStyle w:val="ConsPlusNormal"/>
        <w:ind w:firstLine="709"/>
        <w:jc w:val="both"/>
        <w:rPr>
          <w:sz w:val="28"/>
          <w:szCs w:val="28"/>
        </w:rPr>
      </w:pPr>
      <w:r>
        <w:rPr>
          <w:sz w:val="28"/>
          <w:szCs w:val="28"/>
        </w:rPr>
        <w:t>Результаты тестирования оформляются в виде краткой справки.</w:t>
      </w:r>
    </w:p>
    <w:p>
      <w:pPr>
        <w:pStyle w:val="ConsPlusNormal"/>
        <w:ind w:firstLine="709"/>
        <w:jc w:val="center"/>
        <w:rPr/>
      </w:pPr>
      <w:r>
        <w:rPr/>
      </w:r>
    </w:p>
    <w:p>
      <w:pPr>
        <w:pStyle w:val="ConsPlusNormal"/>
        <w:ind w:firstLine="709"/>
        <w:jc w:val="center"/>
        <w:rPr>
          <w:rFonts w:ascii="Times New Roman" w:hAnsi="Times New Roman" w:eastAsia="" w:cs="Times New Roman" w:eastAsiaTheme="minorEastAsia"/>
          <w:b w:val="false"/>
          <w:color w:val="auto"/>
          <w:kern w:val="0"/>
          <w:sz w:val="28"/>
          <w:szCs w:val="28"/>
          <w:lang w:val="ru-RU" w:eastAsia="ru-RU" w:bidi="ar-SA"/>
        </w:rPr>
      </w:pPr>
      <w:r>
        <w:rPr>
          <w:rFonts w:eastAsia="" w:cs="Times New Roman" w:eastAsiaTheme="minorEastAsia"/>
          <w:b w:val="false"/>
          <w:color w:val="auto"/>
          <w:kern w:val="0"/>
          <w:sz w:val="28"/>
          <w:szCs w:val="28"/>
          <w:lang w:val="ru-RU" w:eastAsia="ru-RU" w:bidi="ar-SA"/>
        </w:rPr>
        <w:t>II. Анкетирование</w:t>
      </w:r>
    </w:p>
    <w:p>
      <w:pPr>
        <w:pStyle w:val="ConsPlusNormal"/>
        <w:ind w:firstLine="709"/>
        <w:jc w:val="center"/>
        <w:rPr>
          <w:rFonts w:ascii="Times New Roman" w:hAnsi="Times New Roman" w:eastAsia="" w:cs="Times New Roman" w:eastAsiaTheme="minorEastAsia"/>
          <w:b w:val="false"/>
          <w:color w:val="auto"/>
          <w:kern w:val="0"/>
          <w:sz w:val="28"/>
          <w:szCs w:val="28"/>
          <w:lang w:val="ru-RU" w:eastAsia="ru-RU" w:bidi="ar-SA"/>
        </w:rPr>
      </w:pPr>
      <w:r>
        <w:rPr>
          <w:rFonts w:eastAsia="" w:cs="Times New Roman" w:eastAsiaTheme="minorEastAsia"/>
          <w:b w:val="false"/>
          <w:color w:val="auto"/>
          <w:kern w:val="0"/>
          <w:sz w:val="28"/>
          <w:szCs w:val="28"/>
          <w:lang w:val="ru-RU" w:eastAsia="ru-RU" w:bidi="ar-SA"/>
        </w:rPr>
      </w:r>
    </w:p>
    <w:p>
      <w:pPr>
        <w:pStyle w:val="ConsPlusNormal"/>
        <w:ind w:firstLine="709"/>
        <w:jc w:val="both"/>
        <w:rPr>
          <w:sz w:val="28"/>
          <w:szCs w:val="28"/>
        </w:rPr>
      </w:pPr>
      <w:r>
        <w:rPr>
          <w:sz w:val="28"/>
          <w:szCs w:val="28"/>
        </w:rPr>
        <w:t>Анкетирование проводится по вопросам, составленным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pPr>
        <w:pStyle w:val="ConsPlusNormal"/>
        <w:ind w:firstLine="709"/>
        <w:jc w:val="both"/>
        <w:rPr>
          <w:sz w:val="28"/>
          <w:szCs w:val="28"/>
        </w:rPr>
      </w:pPr>
      <w:r>
        <w:rPr>
          <w:sz w:val="28"/>
          <w:szCs w:val="28"/>
        </w:rP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pPr>
        <w:pStyle w:val="ConsPlusNormal"/>
        <w:ind w:firstLine="709"/>
        <w:jc w:val="both"/>
        <w:rPr>
          <w:sz w:val="28"/>
          <w:szCs w:val="28"/>
        </w:rPr>
      </w:pPr>
      <w:r>
        <w:rPr>
          <w:sz w:val="28"/>
          <w:szCs w:val="28"/>
        </w:rPr>
      </w:r>
    </w:p>
    <w:p>
      <w:pPr>
        <w:pStyle w:val="ConsPlusTitle"/>
        <w:ind w:firstLine="709"/>
        <w:jc w:val="center"/>
        <w:rPr>
          <w:rFonts w:ascii="Times New Roman" w:hAnsi="Times New Roman" w:cs="Times New Roman"/>
          <w:b w:val="false"/>
          <w:sz w:val="28"/>
          <w:szCs w:val="28"/>
        </w:rPr>
      </w:pPr>
      <w:r>
        <w:rPr>
          <w:rFonts w:cs="Times New Roman" w:ascii="Times New Roman" w:hAnsi="Times New Roman"/>
          <w:b w:val="false"/>
          <w:sz w:val="28"/>
          <w:szCs w:val="28"/>
        </w:rPr>
        <w:t>III</w:t>
      </w:r>
      <w:r>
        <w:rPr>
          <w:rFonts w:cs="Times New Roman" w:ascii="Times New Roman" w:hAnsi="Times New Roman"/>
          <w:b w:val="false"/>
          <w:sz w:val="28"/>
          <w:szCs w:val="28"/>
        </w:rPr>
        <w:t>. Написание реферата или иных письменных работ</w:t>
      </w:r>
    </w:p>
    <w:p>
      <w:pPr>
        <w:pStyle w:val="ConsPlusNormal"/>
        <w:ind w:firstLine="709"/>
        <w:jc w:val="both"/>
        <w:rPr>
          <w:sz w:val="28"/>
          <w:szCs w:val="28"/>
        </w:rPr>
      </w:pPr>
      <w:r>
        <w:rPr>
          <w:sz w:val="28"/>
          <w:szCs w:val="28"/>
        </w:rPr>
      </w:r>
    </w:p>
    <w:p>
      <w:pPr>
        <w:pStyle w:val="ConsPlusNormal"/>
        <w:ind w:firstLine="709"/>
        <w:jc w:val="both"/>
        <w:rPr>
          <w:sz w:val="28"/>
          <w:szCs w:val="28"/>
        </w:rPr>
      </w:pPr>
      <w:r>
        <w:rPr>
          <w:sz w:val="28"/>
          <w:szCs w:val="28"/>
        </w:rP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pPr>
        <w:pStyle w:val="ConsPlusNormal"/>
        <w:ind w:firstLine="709"/>
        <w:jc w:val="both"/>
        <w:rPr>
          <w:sz w:val="28"/>
          <w:szCs w:val="28"/>
        </w:rPr>
      </w:pPr>
      <w:r>
        <w:rPr>
          <w:sz w:val="28"/>
          <w:szCs w:val="28"/>
        </w:rPr>
        <w:t xml:space="preserve">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Департамента </w:t>
      </w:r>
      <w:r>
        <w:rPr>
          <w:rFonts w:eastAsia="Times New Roman"/>
          <w:bCs/>
          <w:sz w:val="28"/>
          <w:szCs w:val="28"/>
          <w:lang w:eastAsia="ru-RU"/>
        </w:rPr>
        <w:t>здравоохранения</w:t>
      </w:r>
      <w:r>
        <w:rPr>
          <w:sz w:val="28"/>
          <w:szCs w:val="28"/>
        </w:rPr>
        <w:t xml:space="preserve"> города Севастополя,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Департамента </w:t>
      </w:r>
      <w:r>
        <w:rPr>
          <w:rFonts w:eastAsia="Times New Roman"/>
          <w:bCs/>
          <w:sz w:val="28"/>
          <w:szCs w:val="28"/>
          <w:lang w:eastAsia="ru-RU"/>
        </w:rPr>
        <w:t>здравоохранения</w:t>
      </w:r>
      <w:r>
        <w:rPr>
          <w:sz w:val="28"/>
          <w:szCs w:val="28"/>
        </w:rPr>
        <w:t xml:space="preserve"> города Севастополя (далее – Департамент),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и согласовывается с председателем конкурсной комиссии.</w:t>
      </w:r>
    </w:p>
    <w:p>
      <w:pPr>
        <w:pStyle w:val="ConsPlusNormal"/>
        <w:ind w:firstLine="709"/>
        <w:jc w:val="both"/>
        <w:rPr>
          <w:sz w:val="28"/>
          <w:szCs w:val="28"/>
        </w:rPr>
      </w:pPr>
      <w:r>
        <w:rPr>
          <w:sz w:val="28"/>
          <w:szCs w:val="28"/>
        </w:rPr>
        <w:t>Реферат должен соответствовать следующим требованиям:</w:t>
      </w:r>
    </w:p>
    <w:p>
      <w:pPr>
        <w:pStyle w:val="ConsPlusNormal"/>
        <w:ind w:firstLine="709"/>
        <w:jc w:val="both"/>
        <w:rPr>
          <w:sz w:val="28"/>
          <w:szCs w:val="28"/>
        </w:rPr>
      </w:pPr>
      <w:r>
        <w:rPr>
          <w:sz w:val="28"/>
          <w:szCs w:val="28"/>
        </w:rPr>
        <w:t>- объем реферата - от 7 до 10 страниц (за исключением титульного листа и списка использованной литературы); шрифт - Times New Roman, размер 14, через одинарный интервал.</w:t>
      </w:r>
    </w:p>
    <w:p>
      <w:pPr>
        <w:pStyle w:val="ConsPlusNormal"/>
        <w:ind w:firstLine="709"/>
        <w:jc w:val="both"/>
        <w:rPr>
          <w:sz w:val="28"/>
          <w:szCs w:val="28"/>
        </w:rPr>
      </w:pPr>
      <w:r>
        <w:rPr>
          <w:sz w:val="28"/>
          <w:szCs w:val="28"/>
        </w:rPr>
        <w:t>Реферат должен содержать ссылки на использованные источники.</w:t>
      </w:r>
    </w:p>
    <w:p>
      <w:pPr>
        <w:pStyle w:val="ConsPlusNormal"/>
        <w:ind w:firstLine="709"/>
        <w:jc w:val="both"/>
        <w:rPr>
          <w:sz w:val="28"/>
          <w:szCs w:val="28"/>
        </w:rPr>
      </w:pPr>
      <w:r>
        <w:rPr>
          <w:sz w:val="28"/>
          <w:szCs w:val="28"/>
        </w:rPr>
        <w:t>В случае проведения конкурса на замещение вакантной должности гражданской службы на реферат дается письменное заключение руководителя структурного подразделения Департамента,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Департамента,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pPr>
        <w:pStyle w:val="ConsPlusNormal"/>
        <w:ind w:firstLine="709"/>
        <w:jc w:val="both"/>
        <w:rPr>
          <w:sz w:val="28"/>
          <w:szCs w:val="28"/>
        </w:rPr>
      </w:pPr>
      <w:r>
        <w:rPr>
          <w:sz w:val="28"/>
          <w:szCs w:val="28"/>
        </w:rPr>
        <w:t>На основе указанного заключения выставляется итоговая оценка по следующим критериям:</w:t>
      </w:r>
    </w:p>
    <w:p>
      <w:pPr>
        <w:pStyle w:val="ConsPlusNormal"/>
        <w:ind w:firstLine="709"/>
        <w:jc w:val="both"/>
        <w:rPr>
          <w:sz w:val="28"/>
          <w:szCs w:val="28"/>
        </w:rPr>
      </w:pPr>
      <w:r>
        <w:rPr>
          <w:sz w:val="28"/>
          <w:szCs w:val="28"/>
        </w:rPr>
        <w:t>- соответствие установленным требованиям оформления;</w:t>
      </w:r>
    </w:p>
    <w:p>
      <w:pPr>
        <w:pStyle w:val="ConsPlusNormal"/>
        <w:ind w:firstLine="709"/>
        <w:jc w:val="both"/>
        <w:rPr>
          <w:sz w:val="28"/>
          <w:szCs w:val="28"/>
        </w:rPr>
      </w:pPr>
      <w:r>
        <w:rPr>
          <w:sz w:val="28"/>
          <w:szCs w:val="28"/>
        </w:rPr>
        <w:t>- раскрытие темы;</w:t>
      </w:r>
    </w:p>
    <w:p>
      <w:pPr>
        <w:pStyle w:val="ConsPlusNormal"/>
        <w:ind w:firstLine="709"/>
        <w:jc w:val="both"/>
        <w:rPr>
          <w:sz w:val="28"/>
          <w:szCs w:val="28"/>
        </w:rPr>
      </w:pPr>
      <w:r>
        <w:rPr>
          <w:sz w:val="28"/>
          <w:szCs w:val="28"/>
        </w:rPr>
        <w:t>- аналитические способности, логичность мышления;</w:t>
      </w:r>
    </w:p>
    <w:p>
      <w:pPr>
        <w:pStyle w:val="ConsPlusNormal"/>
        <w:ind w:firstLine="709"/>
        <w:jc w:val="both"/>
        <w:rPr>
          <w:sz w:val="28"/>
          <w:szCs w:val="28"/>
        </w:rPr>
      </w:pPr>
      <w:r>
        <w:rPr>
          <w:sz w:val="28"/>
          <w:szCs w:val="28"/>
        </w:rPr>
        <w:t>- обоснованность и практическая реализуемость представленных предложений по заданной теме.</w:t>
      </w:r>
    </w:p>
    <w:p>
      <w:pPr>
        <w:pStyle w:val="ConsPlusNormal"/>
        <w:ind w:firstLine="540"/>
        <w:jc w:val="both"/>
        <w:rPr>
          <w:sz w:val="28"/>
          <w:szCs w:val="28"/>
        </w:rPr>
      </w:pPr>
      <w:r>
        <w:rPr>
          <w:sz w:val="28"/>
          <w:szCs w:val="28"/>
        </w:rPr>
      </w:r>
    </w:p>
    <w:p>
      <w:pPr>
        <w:pStyle w:val="ConsPlusTitle"/>
        <w:numPr>
          <w:ilvl w:val="0"/>
          <w:numId w:val="0"/>
        </w:numPr>
        <w:ind w:hanging="0" w:left="0"/>
        <w:jc w:val="center"/>
        <w:outlineLvl w:val="2"/>
        <w:rPr>
          <w:rFonts w:ascii="Times New Roman" w:hAnsi="Times New Roman" w:cs="Times New Roman"/>
          <w:b w:val="false"/>
          <w:sz w:val="28"/>
          <w:szCs w:val="28"/>
        </w:rPr>
      </w:pPr>
      <w:r>
        <w:rPr>
          <w:rFonts w:cs="Times New Roman" w:ascii="Times New Roman" w:hAnsi="Times New Roman"/>
          <w:b w:val="false"/>
          <w:sz w:val="28"/>
          <w:szCs w:val="28"/>
        </w:rPr>
        <w:t>IV</w:t>
      </w:r>
      <w:r>
        <w:rPr>
          <w:rFonts w:cs="Times New Roman" w:ascii="Times New Roman" w:hAnsi="Times New Roman"/>
          <w:b w:val="false"/>
          <w:sz w:val="28"/>
          <w:szCs w:val="28"/>
        </w:rPr>
        <w:t>. Индивидуальное собеседование</w:t>
      </w:r>
    </w:p>
    <w:p>
      <w:pPr>
        <w:pStyle w:val="ConsPlusNormal"/>
        <w:jc w:val="center"/>
        <w:rPr>
          <w:sz w:val="28"/>
          <w:szCs w:val="28"/>
        </w:rPr>
      </w:pPr>
      <w:r>
        <w:rPr>
          <w:sz w:val="28"/>
          <w:szCs w:val="28"/>
        </w:rPr>
      </w:r>
    </w:p>
    <w:p>
      <w:pPr>
        <w:pStyle w:val="ConsPlusNormal"/>
        <w:ind w:firstLine="709"/>
        <w:jc w:val="both"/>
        <w:rPr>
          <w:sz w:val="28"/>
          <w:szCs w:val="28"/>
        </w:rPr>
      </w:pPr>
      <w:r>
        <w:rPr>
          <w:sz w:val="28"/>
          <w:szCs w:val="28"/>
        </w:rPr>
        <w:t>В рамках индивидуального собеседования задаются вопросы, направленные на оценку профессионального уровня кандидата.</w:t>
      </w:r>
    </w:p>
    <w:p>
      <w:pPr>
        <w:pStyle w:val="ConsPlusNormal"/>
        <w:ind w:firstLine="709"/>
        <w:jc w:val="both"/>
        <w:rPr>
          <w:sz w:val="28"/>
          <w:szCs w:val="28"/>
        </w:rPr>
      </w:pPr>
      <w:r>
        <w:rPr>
          <w:sz w:val="28"/>
          <w:szCs w:val="28"/>
        </w:rPr>
        <w:t>В этих целях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составляется перечень вопросов по каждой вакантной должности гражданской службы (группе должностей гражданской службы, по которой проводится конкурс на включение в кадровый резерв).</w:t>
      </w:r>
    </w:p>
    <w:p>
      <w:pPr>
        <w:pStyle w:val="ConsPlusNormal"/>
        <w:ind w:firstLine="709"/>
        <w:jc w:val="both"/>
        <w:rPr>
          <w:sz w:val="28"/>
          <w:szCs w:val="28"/>
        </w:rPr>
      </w:pPr>
      <w:r>
        <w:rPr>
          <w:sz w:val="28"/>
          <w:szCs w:val="28"/>
        </w:rPr>
        <w:t>Предварительное индивидуальное собеседование может проводиться руководителем структурного подразделения Департамента, на замещение вакантной должности гражданской службы в котором проводится конкурс, или руководителем структурного подразделения Департамента,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pPr>
        <w:pStyle w:val="ConsPlusNormal"/>
        <w:ind w:firstLine="709"/>
        <w:jc w:val="both"/>
        <w:rPr>
          <w:sz w:val="28"/>
          <w:szCs w:val="28"/>
        </w:rPr>
      </w:pPr>
      <w:r>
        <w:rPr>
          <w:sz w:val="28"/>
          <w:szCs w:val="28"/>
        </w:rPr>
        <w:t>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pPr>
        <w:pStyle w:val="ConsPlusNormal"/>
        <w:ind w:firstLine="709"/>
        <w:jc w:val="both"/>
        <w:rPr>
          <w:sz w:val="28"/>
          <w:szCs w:val="28"/>
        </w:rPr>
      </w:pPr>
      <w:r>
        <w:rPr>
          <w:sz w:val="28"/>
          <w:szCs w:val="28"/>
        </w:rPr>
        <w:t>Проведение индивидуального собеседования с кандидатом в ходе заседания конкурсной комиссии является обязательным.</w:t>
      </w:r>
    </w:p>
    <w:p>
      <w:pPr>
        <w:pStyle w:val="ConsPlusNormal"/>
        <w:ind w:firstLine="709"/>
        <w:jc w:val="both"/>
        <w:rPr>
          <w:sz w:val="28"/>
          <w:szCs w:val="28"/>
        </w:rPr>
      </w:pPr>
      <w:r>
        <w:rPr>
          <w:sz w:val="28"/>
          <w:szCs w:val="28"/>
        </w:rPr>
        <w:t>При проведении индивидуального собеседования конкурсной комиссией по решению представителя нанимателя может вестись видео- и (или) аудиозапись либо стенограмма проведения соответствующих конкурсных процедур,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pPr>
        <w:pStyle w:val="ConsPlusNormal"/>
        <w:ind w:firstLine="709"/>
        <w:jc w:val="both"/>
        <w:rPr>
          <w:sz w:val="28"/>
          <w:szCs w:val="28"/>
        </w:rPr>
      </w:pPr>
      <w:r>
        <w:rPr>
          <w:sz w:val="28"/>
          <w:szCs w:val="28"/>
        </w:rPr>
      </w:r>
    </w:p>
    <w:p>
      <w:pPr>
        <w:pStyle w:val="ConsPlusTitle"/>
        <w:numPr>
          <w:ilvl w:val="0"/>
          <w:numId w:val="0"/>
        </w:numPr>
        <w:ind w:hanging="0" w:left="0"/>
        <w:jc w:val="center"/>
        <w:outlineLvl w:val="2"/>
        <w:rPr>
          <w:rFonts w:ascii="Times New Roman" w:hAnsi="Times New Roman" w:cs="Times New Roman"/>
          <w:b w:val="false"/>
          <w:sz w:val="28"/>
          <w:szCs w:val="28"/>
        </w:rPr>
      </w:pPr>
      <w:r>
        <w:rPr>
          <w:rFonts w:cs="Times New Roman" w:ascii="Times New Roman" w:hAnsi="Times New Roman"/>
          <w:b w:val="false"/>
          <w:sz w:val="28"/>
          <w:szCs w:val="28"/>
        </w:rPr>
        <w:t>V</w:t>
      </w:r>
      <w:r>
        <w:rPr>
          <w:rFonts w:cs="Times New Roman" w:ascii="Times New Roman" w:hAnsi="Times New Roman"/>
          <w:b w:val="false"/>
          <w:sz w:val="28"/>
          <w:szCs w:val="28"/>
        </w:rPr>
        <w:t>. Проведение групповых дискуссий</w:t>
      </w:r>
    </w:p>
    <w:p>
      <w:pPr>
        <w:pStyle w:val="ConsPlusNormal"/>
        <w:jc w:val="center"/>
        <w:rPr>
          <w:sz w:val="28"/>
          <w:szCs w:val="28"/>
        </w:rPr>
      </w:pPr>
      <w:r>
        <w:rPr>
          <w:sz w:val="28"/>
          <w:szCs w:val="28"/>
        </w:rPr>
      </w:r>
    </w:p>
    <w:p>
      <w:pPr>
        <w:pStyle w:val="ConsPlusNormal"/>
        <w:ind w:firstLine="709"/>
        <w:jc w:val="both"/>
        <w:rPr>
          <w:sz w:val="28"/>
          <w:szCs w:val="28"/>
        </w:rPr>
      </w:pPr>
      <w:r>
        <w:rPr>
          <w:sz w:val="28"/>
          <w:szCs w:val="28"/>
        </w:rP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pPr>
        <w:pStyle w:val="ConsPlusNormal"/>
        <w:ind w:firstLine="709"/>
        <w:jc w:val="both"/>
        <w:rPr>
          <w:sz w:val="28"/>
          <w:szCs w:val="28"/>
        </w:rPr>
      </w:pPr>
      <w:r>
        <w:rPr>
          <w:sz w:val="28"/>
          <w:szCs w:val="28"/>
        </w:rPr>
        <w:t>Тема для проведения групповой дискуссии в случае проведения конкурса на замещение вакантных должностей гражданской службы определяется руководителем структурного подразделения Департамента,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Департамента,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pPr>
        <w:pStyle w:val="ConsPlusNormal"/>
        <w:ind w:firstLine="709"/>
        <w:jc w:val="both"/>
        <w:rPr>
          <w:sz w:val="28"/>
          <w:szCs w:val="28"/>
        </w:rPr>
      </w:pPr>
      <w:r>
        <w:rPr>
          <w:sz w:val="28"/>
          <w:szCs w:val="28"/>
        </w:rPr>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pPr>
        <w:pStyle w:val="ConsPlusNormal"/>
        <w:ind w:firstLine="709"/>
        <w:jc w:val="both"/>
        <w:rPr>
          <w:sz w:val="28"/>
          <w:szCs w:val="28"/>
        </w:rPr>
      </w:pPr>
      <w:r>
        <w:rPr>
          <w:sz w:val="28"/>
          <w:szCs w:val="28"/>
        </w:rPr>
        <w:t>В течение установленного времени кандидатом готовится устный или письменный ответ.</w:t>
      </w:r>
    </w:p>
    <w:p>
      <w:pPr>
        <w:pStyle w:val="ConsPlusNormal"/>
        <w:ind w:firstLine="709"/>
        <w:jc w:val="both"/>
        <w:rPr>
          <w:sz w:val="28"/>
          <w:szCs w:val="28"/>
        </w:rPr>
      </w:pPr>
      <w:r>
        <w:rPr>
          <w:sz w:val="28"/>
          <w:szCs w:val="28"/>
        </w:rPr>
        <w:t>Ответы кандидатов изучаются лицами, организовавшими групповую дискуссию. Затем проводится дискуссия с участием указанных лиц, после завершения которой конкурсной комиссией принимается решение об итогах прохождения кандидатами групповой дискуссии.</w:t>
      </w:r>
    </w:p>
    <w:p>
      <w:pPr>
        <w:pStyle w:val="ConsPlusNormal"/>
        <w:ind w:firstLine="540"/>
        <w:jc w:val="both"/>
        <w:rPr>
          <w:sz w:val="28"/>
          <w:szCs w:val="28"/>
        </w:rPr>
      </w:pPr>
      <w:r>
        <w:rPr>
          <w:sz w:val="28"/>
          <w:szCs w:val="28"/>
        </w:rPr>
      </w:r>
    </w:p>
    <w:p>
      <w:pPr>
        <w:pStyle w:val="ConsPlusTitle"/>
        <w:numPr>
          <w:ilvl w:val="0"/>
          <w:numId w:val="0"/>
        </w:numPr>
        <w:ind w:hanging="0" w:left="0"/>
        <w:jc w:val="center"/>
        <w:outlineLvl w:val="2"/>
        <w:rPr>
          <w:rFonts w:ascii="Times New Roman" w:hAnsi="Times New Roman" w:cs="Times New Roman"/>
          <w:b w:val="false"/>
          <w:sz w:val="28"/>
          <w:szCs w:val="28"/>
        </w:rPr>
      </w:pPr>
      <w:r>
        <w:rPr>
          <w:rFonts w:cs="Times New Roman" w:ascii="Times New Roman" w:hAnsi="Times New Roman"/>
          <w:b w:val="false"/>
          <w:sz w:val="28"/>
          <w:szCs w:val="28"/>
        </w:rPr>
        <w:t>VI</w:t>
      </w:r>
      <w:r>
        <w:rPr>
          <w:rFonts w:cs="Times New Roman" w:ascii="Times New Roman" w:hAnsi="Times New Roman"/>
          <w:b w:val="false"/>
          <w:sz w:val="28"/>
          <w:szCs w:val="28"/>
        </w:rPr>
        <w:t>. Подготовка проекта документа</w:t>
      </w:r>
    </w:p>
    <w:p>
      <w:pPr>
        <w:pStyle w:val="ConsPlusNormal"/>
        <w:jc w:val="center"/>
        <w:rPr>
          <w:sz w:val="28"/>
          <w:szCs w:val="28"/>
        </w:rPr>
      </w:pPr>
      <w:r>
        <w:rPr>
          <w:sz w:val="28"/>
          <w:szCs w:val="28"/>
        </w:rPr>
      </w:r>
    </w:p>
    <w:p>
      <w:pPr>
        <w:pStyle w:val="ConsPlusNormal"/>
        <w:ind w:firstLine="709"/>
        <w:jc w:val="both"/>
        <w:rPr>
          <w:sz w:val="28"/>
          <w:szCs w:val="28"/>
        </w:rPr>
      </w:pPr>
      <w:r>
        <w:rPr>
          <w:sz w:val="28"/>
          <w:szCs w:val="28"/>
        </w:rPr>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регламентом.</w:t>
      </w:r>
    </w:p>
    <w:p>
      <w:pPr>
        <w:pStyle w:val="ConsPlusNormal"/>
        <w:jc w:val="both"/>
        <w:rPr>
          <w:sz w:val="28"/>
          <w:szCs w:val="28"/>
        </w:rPr>
      </w:pPr>
      <w:r>
        <w:rPr>
          <w:sz w:val="28"/>
          <w:szCs w:val="28"/>
        </w:rPr>
        <w:tab/>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предоставляются инструкция по делопроизводству и иные документы, необходимые для надлежащей подготовки проекта документа.</w:t>
      </w:r>
    </w:p>
    <w:p>
      <w:pPr>
        <w:pStyle w:val="ConsPlusNormal"/>
        <w:ind w:firstLine="709"/>
        <w:jc w:val="both"/>
        <w:rPr>
          <w:sz w:val="28"/>
          <w:szCs w:val="28"/>
        </w:rPr>
      </w:pPr>
      <w:r>
        <w:rPr>
          <w:sz w:val="28"/>
          <w:szCs w:val="28"/>
        </w:rPr>
        <w:t>Оценка подготовленного проекта документа может осуществляться руководителем структурного подразделения Департамента, на замещение вакантной должности гражданской службы в котором проводится конкурс, или руководителем структурного подразделения Департамента, в котором реализуется область профессиональной служебной деятельности по группе должностей гражданской службы, по которой проводится конкурс н включение в кадровый резерв. При этом в целях проведения объективной оценки обеспечивается анонимность подготовленного проекта документа.</w:t>
      </w:r>
    </w:p>
    <w:p>
      <w:pPr>
        <w:pStyle w:val="ConsPlusNormal"/>
        <w:ind w:firstLine="709"/>
        <w:jc w:val="both"/>
        <w:rPr>
          <w:sz w:val="28"/>
          <w:szCs w:val="28"/>
        </w:rPr>
      </w:pPr>
      <w:r>
        <w:rPr>
          <w:sz w:val="28"/>
          <w:szCs w:val="28"/>
        </w:rPr>
        <w:t>Результаты оценки проекта документа оформляются в виде краткой справки.</w:t>
      </w:r>
    </w:p>
    <w:p>
      <w:pPr>
        <w:pStyle w:val="ConsPlusNormal"/>
        <w:ind w:firstLine="709"/>
        <w:jc w:val="both"/>
        <w:rPr>
          <w:sz w:val="28"/>
          <w:szCs w:val="28"/>
        </w:rPr>
      </w:pPr>
      <w:r>
        <w:rPr>
          <w:sz w:val="28"/>
          <w:szCs w:val="28"/>
        </w:rPr>
        <w:t>Итоговая оценка выставляется по следующим критериям:</w:t>
      </w:r>
    </w:p>
    <w:p>
      <w:pPr>
        <w:pStyle w:val="ConsPlusNormal"/>
        <w:ind w:firstLine="709"/>
        <w:jc w:val="both"/>
        <w:rPr>
          <w:sz w:val="28"/>
          <w:szCs w:val="28"/>
        </w:rPr>
      </w:pPr>
      <w:r>
        <w:rPr>
          <w:sz w:val="28"/>
          <w:szCs w:val="28"/>
        </w:rPr>
        <w:t>- соответствие установленным требованиям оформления;</w:t>
      </w:r>
    </w:p>
    <w:p>
      <w:pPr>
        <w:pStyle w:val="ConsPlusNormal"/>
        <w:ind w:firstLine="709"/>
        <w:jc w:val="both"/>
        <w:rPr>
          <w:sz w:val="28"/>
          <w:szCs w:val="28"/>
        </w:rPr>
      </w:pPr>
      <w:r>
        <w:rPr>
          <w:sz w:val="28"/>
          <w:szCs w:val="28"/>
        </w:rPr>
        <w:t>- понимание сути вопроса, выявление кандидатом ключевых фактов и проблем, послуживших основанием для разработки проекта документа;</w:t>
      </w:r>
    </w:p>
    <w:p>
      <w:pPr>
        <w:pStyle w:val="ConsPlusNormal"/>
        <w:ind w:firstLine="709"/>
        <w:jc w:val="both"/>
        <w:rPr>
          <w:sz w:val="28"/>
          <w:szCs w:val="28"/>
        </w:rPr>
      </w:pPr>
      <w:r>
        <w:rPr>
          <w:sz w:val="28"/>
          <w:szCs w:val="28"/>
        </w:rPr>
        <w:t>- 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p>
      <w:pPr>
        <w:pStyle w:val="ConsPlusNormal"/>
        <w:ind w:firstLine="709"/>
        <w:jc w:val="both"/>
        <w:rPr>
          <w:sz w:val="28"/>
          <w:szCs w:val="28"/>
        </w:rPr>
      </w:pPr>
      <w:r>
        <w:rPr>
          <w:sz w:val="28"/>
          <w:szCs w:val="28"/>
        </w:rPr>
        <w:t>- обоснованность подходов к решению проблем, послуживших основанием для разработки проекта документа;</w:t>
      </w:r>
    </w:p>
    <w:p>
      <w:pPr>
        <w:pStyle w:val="ConsPlusNormal"/>
        <w:ind w:firstLine="709"/>
        <w:jc w:val="both"/>
        <w:rPr>
          <w:sz w:val="28"/>
          <w:szCs w:val="28"/>
        </w:rPr>
      </w:pPr>
      <w:r>
        <w:rPr>
          <w:sz w:val="28"/>
          <w:szCs w:val="28"/>
        </w:rPr>
        <w:t>- аналитические способности, логичность мышления;</w:t>
      </w:r>
    </w:p>
    <w:p>
      <w:pPr>
        <w:pStyle w:val="ConsPlusNormal"/>
        <w:ind w:firstLine="709"/>
        <w:jc w:val="both"/>
        <w:rPr>
          <w:sz w:val="28"/>
          <w:szCs w:val="28"/>
        </w:rPr>
      </w:pPr>
      <w:r>
        <w:rPr>
          <w:sz w:val="28"/>
          <w:szCs w:val="28"/>
        </w:rPr>
        <w:t>- правовая и лингвистическая грамотность.</w:t>
      </w:r>
    </w:p>
    <w:p>
      <w:pPr>
        <w:pStyle w:val="ConsPlusNormal"/>
        <w:ind w:firstLine="709"/>
        <w:jc w:val="center"/>
        <w:rPr>
          <w:sz w:val="28"/>
          <w:szCs w:val="28"/>
        </w:rPr>
      </w:pPr>
      <w:r>
        <w:rPr>
          <w:sz w:val="28"/>
          <w:szCs w:val="28"/>
        </w:rPr>
      </w:r>
    </w:p>
    <w:p>
      <w:pPr>
        <w:pStyle w:val="ConsPlusNormal"/>
        <w:ind w:firstLine="709"/>
        <w:jc w:val="center"/>
        <w:rPr>
          <w:sz w:val="28"/>
          <w:szCs w:val="28"/>
        </w:rPr>
      </w:pPr>
      <w:r>
        <w:rPr>
          <w:sz w:val="28"/>
          <w:szCs w:val="28"/>
        </w:rPr>
        <w:t>VII. Решение практических задач</w:t>
      </w:r>
    </w:p>
    <w:p>
      <w:pPr>
        <w:pStyle w:val="ConsPlusNormal"/>
        <w:spacing w:lineRule="auto" w:line="240"/>
        <w:ind w:firstLine="709"/>
        <w:jc w:val="center"/>
        <w:rPr>
          <w:sz w:val="28"/>
          <w:szCs w:val="28"/>
        </w:rPr>
      </w:pPr>
      <w:r>
        <w:rPr>
          <w:sz w:val="28"/>
          <w:szCs w:val="28"/>
        </w:rPr>
      </w:r>
    </w:p>
    <w:p>
      <w:pPr>
        <w:pStyle w:val="BodyText"/>
        <w:spacing w:lineRule="auto" w:line="240"/>
        <w:ind w:firstLine="709"/>
        <w:jc w:val="both"/>
        <w:rPr>
          <w:rFonts w:ascii="Times New Roman" w:hAnsi="Times New Roman" w:eastAsia="" w:cs="Times New Roman" w:eastAsiaTheme="minorEastAsia"/>
          <w:color w:val="auto"/>
          <w:kern w:val="0"/>
          <w:sz w:val="28"/>
          <w:szCs w:val="28"/>
          <w:lang w:val="ru-RU" w:eastAsia="ru-RU" w:bidi="ar-SA"/>
        </w:rPr>
      </w:pPr>
      <w:r>
        <w:rPr>
          <w:rFonts w:eastAsia="" w:cs="Times New Roman" w:eastAsiaTheme="minorEastAsia" w:ascii="Times New Roman" w:hAnsi="Times New Roman"/>
          <w:color w:val="auto"/>
          <w:kern w:val="0"/>
          <w:sz w:val="28"/>
          <w:szCs w:val="28"/>
          <w:lang w:val="ru-RU" w:eastAsia="ru-RU" w:bidi="ar-SA"/>
        </w:rPr>
        <w:t>Решение практических задач подразумевает ознакомление кандидата с проблемной ситуацией, изложенной в формате текста или видео, связанной с областью и видом профессиональной служебной деятельности по вакантной должности гражданской службы, и подготовку кандидатом ответов на вопросы, направленные на выявление его аналитических, стратегических или управленческих способностей.</w:t>
      </w:r>
    </w:p>
    <w:p>
      <w:pPr>
        <w:pStyle w:val="ConsPlusNormal"/>
        <w:ind w:firstLine="709"/>
        <w:jc w:val="both"/>
        <w:rPr>
          <w:sz w:val="28"/>
          <w:szCs w:val="28"/>
        </w:rPr>
      </w:pPr>
      <w:r>
        <w:rPr>
          <w:sz w:val="28"/>
          <w:szCs w:val="28"/>
        </w:rPr>
        <w:t>Результаты оценки проекта документа оформляются в виде краткой справки.</w:t>
      </w:r>
    </w:p>
    <w:p>
      <w:pPr>
        <w:pStyle w:val="ConsPlusNormal"/>
        <w:ind w:firstLine="709"/>
        <w:jc w:val="both"/>
        <w:rPr>
          <w:sz w:val="28"/>
          <w:szCs w:val="28"/>
        </w:rPr>
      </w:pPr>
      <w:r>
        <w:rPr>
          <w:sz w:val="28"/>
          <w:szCs w:val="28"/>
        </w:rPr>
        <w:t>Итоговая оценка выставляется по следующим критериям:</w:t>
      </w:r>
    </w:p>
    <w:p>
      <w:pPr>
        <w:pStyle w:val="ConsPlusNormal"/>
        <w:ind w:firstLine="709"/>
        <w:jc w:val="both"/>
        <w:rPr>
          <w:sz w:val="28"/>
          <w:szCs w:val="28"/>
        </w:rPr>
      </w:pPr>
      <w:r>
        <w:rPr>
          <w:sz w:val="28"/>
          <w:szCs w:val="28"/>
        </w:rPr>
        <w:t xml:space="preserve">- понимание сути вопроса, выявление кандидатом ключевых фактов и проблем, </w:t>
      </w:r>
      <w:r>
        <w:rPr>
          <w:sz w:val="28"/>
          <w:szCs w:val="28"/>
        </w:rPr>
        <w:t>изложенных в практической задаче</w:t>
      </w:r>
      <w:r>
        <w:rPr>
          <w:sz w:val="28"/>
          <w:szCs w:val="28"/>
        </w:rPr>
        <w:t>;</w:t>
      </w:r>
    </w:p>
    <w:p>
      <w:pPr>
        <w:pStyle w:val="ConsPlusNormal"/>
        <w:ind w:firstLine="709"/>
        <w:jc w:val="both"/>
        <w:rPr>
          <w:sz w:val="28"/>
          <w:szCs w:val="28"/>
        </w:rPr>
      </w:pPr>
      <w:r>
        <w:rPr>
          <w:sz w:val="28"/>
          <w:szCs w:val="28"/>
        </w:rPr>
        <w:t>- отражение путей решения проблем с учетом правильного применения норм законодательства Российской Федерации;</w:t>
      </w:r>
    </w:p>
    <w:p>
      <w:pPr>
        <w:pStyle w:val="ConsPlusNormal"/>
        <w:ind w:firstLine="709"/>
        <w:jc w:val="both"/>
        <w:rPr>
          <w:sz w:val="28"/>
          <w:szCs w:val="28"/>
        </w:rPr>
      </w:pPr>
      <w:r>
        <w:rPr>
          <w:sz w:val="28"/>
          <w:szCs w:val="28"/>
        </w:rPr>
        <w:t xml:space="preserve">- обоснованность подходов к решению </w:t>
      </w:r>
      <w:r>
        <w:rPr>
          <w:sz w:val="28"/>
          <w:szCs w:val="28"/>
        </w:rPr>
        <w:t>изложенных в практической задаче проблем</w:t>
      </w:r>
      <w:r>
        <w:rPr>
          <w:sz w:val="28"/>
          <w:szCs w:val="28"/>
        </w:rPr>
        <w:t>;</w:t>
      </w:r>
    </w:p>
    <w:p>
      <w:pPr>
        <w:pStyle w:val="ConsPlusNormal"/>
        <w:ind w:firstLine="709"/>
        <w:jc w:val="both"/>
        <w:rPr>
          <w:sz w:val="28"/>
          <w:szCs w:val="28"/>
        </w:rPr>
      </w:pPr>
      <w:r>
        <w:rPr>
          <w:sz w:val="28"/>
          <w:szCs w:val="28"/>
        </w:rPr>
        <w:t>- аналитические способности, логичность мышления;</w:t>
      </w:r>
    </w:p>
    <w:p>
      <w:pPr>
        <w:pStyle w:val="ConsPlusNormal"/>
        <w:ind w:firstLine="709"/>
        <w:jc w:val="both"/>
        <w:rPr>
          <w:rFonts w:ascii="Times New Roman" w:hAnsi="Times New Roman" w:eastAsia="" w:cs="Times New Roman" w:eastAsiaTheme="minorEastAsia"/>
          <w:color w:val="auto"/>
          <w:kern w:val="0"/>
          <w:sz w:val="28"/>
          <w:szCs w:val="28"/>
          <w:lang w:val="ru-RU" w:eastAsia="ru-RU" w:bidi="ar-SA"/>
        </w:rPr>
      </w:pPr>
      <w:r>
        <w:rPr>
          <w:rFonts w:eastAsia="" w:cs="Times New Roman" w:eastAsiaTheme="minorEastAsia"/>
          <w:color w:val="auto"/>
          <w:kern w:val="0"/>
          <w:sz w:val="28"/>
          <w:szCs w:val="28"/>
          <w:lang w:val="ru-RU" w:eastAsia="ru-RU" w:bidi="ar-SA"/>
        </w:rPr>
        <w:t>- правовая и лингвистическая грамотность.</w:t>
      </w:r>
    </w:p>
    <w:p>
      <w:pPr>
        <w:pStyle w:val="ConsPlusNormal"/>
        <w:ind w:firstLine="709"/>
        <w:jc w:val="center"/>
        <w:rPr>
          <w:sz w:val="28"/>
          <w:szCs w:val="28"/>
        </w:rPr>
      </w:pPr>
      <w:r>
        <w:rPr>
          <w:sz w:val="28"/>
          <w:szCs w:val="28"/>
        </w:rPr>
        <w:t>________________</w:t>
      </w:r>
    </w:p>
    <w:p>
      <w:pPr>
        <w:pStyle w:val="Normal"/>
        <w:numPr>
          <w:ilvl w:val="0"/>
          <w:numId w:val="0"/>
        </w:numPr>
        <w:tabs>
          <w:tab w:val="clear" w:pos="708"/>
          <w:tab w:val="left" w:pos="5103" w:leader="none"/>
        </w:tabs>
        <w:spacing w:lineRule="auto" w:line="240" w:before="0" w:after="0"/>
        <w:ind w:hanging="0" w:left="5529"/>
        <w:jc w:val="both"/>
        <w:outlineLvl w:val="3"/>
        <w:rPr>
          <w:rFonts w:ascii="Times New Roman" w:hAnsi="Times New Roman" w:eastAsia="Times New Roman"/>
          <w:bCs/>
          <w:sz w:val="28"/>
          <w:szCs w:val="28"/>
          <w:lang w:eastAsia="ru-RU"/>
        </w:rPr>
      </w:pPr>
      <w:r>
        <w:rPr>
          <w:rFonts w:eastAsia="Times New Roman" w:ascii="Times New Roman" w:hAnsi="Times New Roman"/>
          <w:bCs/>
          <w:sz w:val="28"/>
          <w:szCs w:val="28"/>
          <w:lang w:eastAsia="ru-RU"/>
        </w:rPr>
      </w:r>
      <w:bookmarkStart w:id="1" w:name="_GoBack"/>
      <w:bookmarkStart w:id="2" w:name="_GoBack"/>
      <w:bookmarkEnd w:id="2"/>
    </w:p>
    <w:sectPr>
      <w:headerReference w:type="default" r:id="rId2"/>
      <w:type w:val="nextPage"/>
      <w:pgSz w:w="11906" w:h="16838"/>
      <w:pgMar w:left="1985" w:right="567" w:gutter="0" w:header="709" w:top="1134" w:footer="0" w:bottom="993"/>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 Sans">
    <w:charset w:val="01"/>
    <w:family w:val="roman"/>
    <w:pitch w:val="variable"/>
  </w:font>
  <w:font w:name="Times New Roman">
    <w:charset w:val="01"/>
    <w:family w:val="roman"/>
    <w:pitch w:val="variable"/>
  </w:font>
  <w:font w:name="Arial">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438362125"/>
    </w:sdtPr>
    <w:sdtContent>
      <w:p>
        <w:pPr>
          <w:pStyle w:val="Header"/>
          <w:jc w:val="center"/>
          <w:rPr>
            <w:rFonts w:ascii="Times New Roman" w:hAnsi="Times New Roman"/>
            <w:sz w:val="24"/>
            <w:szCs w:val="24"/>
          </w:rPr>
        </w:pPr>
        <w:r>
          <w:rPr>
            <w:rFonts w:ascii="Times New Roman" w:hAnsi="Times New Roman"/>
            <w:sz w:val="24"/>
            <w:szCs w:val="24"/>
          </w:rPr>
          <w:fldChar w:fldCharType="begin"/>
        </w:r>
        <w:r>
          <w:rPr>
            <w:sz w:val="24"/>
            <w:szCs w:val="24"/>
            <w:rFonts w:ascii="Times New Roman" w:hAnsi="Times New Roman"/>
          </w:rPr>
          <w:instrText xml:space="preserve"> PAGE </w:instrText>
        </w:r>
        <w:r>
          <w:rPr>
            <w:sz w:val="24"/>
            <w:szCs w:val="24"/>
            <w:rFonts w:ascii="Times New Roman" w:hAnsi="Times New Roman"/>
          </w:rPr>
          <w:fldChar w:fldCharType="separate"/>
        </w:r>
        <w:r>
          <w:rPr>
            <w:sz w:val="24"/>
            <w:szCs w:val="24"/>
            <w:rFonts w:ascii="Times New Roman" w:hAnsi="Times New Roman"/>
          </w:rPr>
          <w:t>6</w:t>
        </w:r>
        <w:r>
          <w:rPr>
            <w:sz w:val="24"/>
            <w:szCs w:val="24"/>
            <w:rFonts w:ascii="Times New Roman" w:hAnsi="Times New Roman"/>
          </w:rPr>
          <w:fldChar w:fldCharType="end"/>
        </w:r>
      </w:p>
    </w:sdtContent>
  </w:sdt>
  <w:p>
    <w:pPr>
      <w:pStyle w:val="Header"/>
      <w:rPr/>
    </w:pPr>
    <w:r>
      <w:rPr/>
    </w:r>
  </w:p>
</w:hdr>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020dc"/>
    <w:pPr>
      <w:widowControl/>
      <w:suppressAutoHyphens w:val="true"/>
      <w:bidi w:val="0"/>
      <w:spacing w:lineRule="auto" w:line="252" w:before="0" w:after="160"/>
      <w:jc w:val="left"/>
    </w:pPr>
    <w:rPr>
      <w:rFonts w:ascii="Calibri" w:hAnsi="Calibri" w:eastAsia="Calibri" w:cs="Times New Roman" w:asciiTheme="minorHAns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f020dc"/>
    <w:rPr>
      <w:rFonts w:ascii="Calibri" w:hAnsi="Calibri" w:eastAsia="Calibri" w:cs="Times New Roman"/>
    </w:rPr>
  </w:style>
  <w:style w:type="character" w:styleId="Style15" w:customStyle="1">
    <w:name w:val="Нижний колонтитул Знак"/>
    <w:basedOn w:val="DefaultParagraphFont"/>
    <w:uiPriority w:val="99"/>
    <w:qFormat/>
    <w:rsid w:val="00f020dc"/>
    <w:rPr>
      <w:rFonts w:ascii="Calibri" w:hAnsi="Calibri" w:eastAsia="Calibri" w:cs="Times New Roman"/>
    </w:rPr>
  </w:style>
  <w:style w:type="paragraph" w:styleId="Style16">
    <w:name w:val="Заголовок"/>
    <w:basedOn w:val="Normal"/>
    <w:next w:val="BodyText"/>
    <w:qFormat/>
    <w:pPr>
      <w:keepNext w:val="true"/>
      <w:spacing w:before="240" w:after="120"/>
    </w:pPr>
    <w:rPr>
      <w:rFonts w:ascii="Open Sans" w:hAnsi="Open Sans" w:eastAsia="WenQuanYi Micro Hei"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7">
    <w:name w:val="Указатель"/>
    <w:basedOn w:val="Normal"/>
    <w:qFormat/>
    <w:pPr>
      <w:suppressLineNumbers/>
    </w:pPr>
    <w:rPr>
      <w:rFonts w:cs="Lohit Devanagari"/>
    </w:rPr>
  </w:style>
  <w:style w:type="paragraph" w:styleId="ConsPlusNormal" w:customStyle="1">
    <w:name w:val="ConsPlusNormal"/>
    <w:qFormat/>
    <w:rsid w:val="00f020dc"/>
    <w:pPr>
      <w:widowControl w:val="false"/>
      <w:suppressAutoHyphens w:val="true"/>
      <w:bidi w:val="0"/>
      <w:spacing w:lineRule="auto" w:line="240" w:before="0" w:after="0"/>
      <w:jc w:val="left"/>
    </w:pPr>
    <w:rPr>
      <w:rFonts w:ascii="Times New Roman" w:hAnsi="Times New Roman" w:eastAsia="" w:cs="Times New Roman" w:eastAsiaTheme="minorEastAsia"/>
      <w:color w:val="auto"/>
      <w:kern w:val="0"/>
      <w:sz w:val="24"/>
      <w:szCs w:val="22"/>
      <w:lang w:val="ru-RU" w:eastAsia="ru-RU" w:bidi="ar-SA"/>
    </w:rPr>
  </w:style>
  <w:style w:type="paragraph" w:styleId="ConsPlusTitle" w:customStyle="1">
    <w:name w:val="ConsPlusTitle"/>
    <w:qFormat/>
    <w:rsid w:val="00f020dc"/>
    <w:pPr>
      <w:widowControl w:val="false"/>
      <w:suppressAutoHyphens w:val="true"/>
      <w:bidi w:val="0"/>
      <w:spacing w:lineRule="auto" w:line="240" w:before="0" w:after="0"/>
      <w:jc w:val="left"/>
    </w:pPr>
    <w:rPr>
      <w:rFonts w:ascii="Arial" w:hAnsi="Arial" w:eastAsia="" w:cs="Arial" w:eastAsiaTheme="minorEastAsia"/>
      <w:b/>
      <w:color w:val="auto"/>
      <w:kern w:val="0"/>
      <w:sz w:val="24"/>
      <w:szCs w:val="22"/>
      <w:lang w:val="ru-RU" w:eastAsia="ru-RU" w:bidi="ar-SA"/>
    </w:rPr>
  </w:style>
  <w:style w:type="paragraph" w:styleId="Style18">
    <w:name w:val="Колонтитул"/>
    <w:basedOn w:val="Normal"/>
    <w:qFormat/>
    <w:pPr/>
    <w:rPr/>
  </w:style>
  <w:style w:type="paragraph" w:styleId="Header">
    <w:name w:val="Header"/>
    <w:basedOn w:val="Normal"/>
    <w:link w:val="Style14"/>
    <w:uiPriority w:val="99"/>
    <w:unhideWhenUsed/>
    <w:rsid w:val="00f020dc"/>
    <w:pPr>
      <w:tabs>
        <w:tab w:val="clear" w:pos="708"/>
        <w:tab w:val="center" w:pos="4677" w:leader="none"/>
        <w:tab w:val="right" w:pos="9355" w:leader="none"/>
      </w:tabs>
      <w:spacing w:lineRule="auto" w:line="240" w:before="0" w:after="0"/>
    </w:pPr>
    <w:rPr/>
  </w:style>
  <w:style w:type="paragraph" w:styleId="Footer">
    <w:name w:val="Footer"/>
    <w:basedOn w:val="Normal"/>
    <w:link w:val="Style15"/>
    <w:uiPriority w:val="99"/>
    <w:unhideWhenUsed/>
    <w:rsid w:val="00f020dc"/>
    <w:pPr>
      <w:tabs>
        <w:tab w:val="clear" w:pos="708"/>
        <w:tab w:val="center" w:pos="4677" w:leader="none"/>
        <w:tab w:val="right" w:pos="9355" w:leader="none"/>
      </w:tabs>
      <w:spacing w:lineRule="auto" w:line="240" w:before="0" w:after="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982</TotalTime>
  <Application>LibreOffice/7.6.7.2$Linux_X86_64 LibreOffice_project/60$Build-2</Application>
  <AppVersion>15.0000</AppVersion>
  <Pages>6</Pages>
  <Words>1429</Words>
  <Characters>10719</Characters>
  <CharactersWithSpaces>12195</CharactersWithSpaces>
  <Paragraphs>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2025-07-03T06:25:00Z</dcterms:created>
  <dc:creator>Поданева Оксана Васильевна</dc:creator>
  <dc:description/>
  <dc:language>ru-RU</dc:language>
  <cp:lastModifiedBy/>
  <cp:lastPrinted>2026-03-12T10:23:42Z</cp:lastPrinted>
  <dcterms:modified xsi:type="dcterms:W3CDTF">2026-03-12T10:37:48Z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